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2021年浙江大学硕士研究生学费标准</w:t>
      </w:r>
    </w:p>
    <w:tbl>
      <w:tblPr>
        <w:tblStyle w:val="4"/>
        <w:tblW w:w="78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052"/>
        <w:gridCol w:w="2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攻读类型</w:t>
            </w:r>
          </w:p>
        </w:tc>
        <w:tc>
          <w:tcPr>
            <w:tcW w:w="4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专业类型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普通专业（以下专业除外）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法律硕士（法学）硕士专业学位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法律硕士（非法学）硕士专业学位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软件学院电子信息专业学位软件工程领域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软件学院机械专业学位工业设计工程领域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软件学院电子信息专业学位人工智能领域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社会工作</w:t>
            </w:r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国际商务硕士、税务硕士专业学位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金融硕士专业学位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应用心理硕士专业学位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（国际化培养项目）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（国内部分）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新闻与传播硕士专业学位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汉语国际教育硕士专业学位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会计硕士专业学位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工商管理硕士专业学位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法律硕士（非法学）专业学位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教育硕士专业学位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公共卫生硕士专业学位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护理硕士专业学位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应用心理硕士专业学位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社会工作硕士专业学位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64000元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艺术硕士专业学位广播电视领域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100000元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工程师学院工程类硕士专业学位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公共管理硕士专业学位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工程管理硕士专业学位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GMSCM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全球项目）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全程（中方费用）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方向）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非全日制</w:t>
            </w:r>
          </w:p>
        </w:tc>
        <w:tc>
          <w:tcPr>
            <w:tcW w:w="4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工商管理硕士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(EMBA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方向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全程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FB"/>
    <w:rsid w:val="00057D5F"/>
    <w:rsid w:val="00467B27"/>
    <w:rsid w:val="005221DB"/>
    <w:rsid w:val="006F6214"/>
    <w:rsid w:val="00791DCD"/>
    <w:rsid w:val="00796B45"/>
    <w:rsid w:val="00A063CA"/>
    <w:rsid w:val="00A6373C"/>
    <w:rsid w:val="00A768FB"/>
    <w:rsid w:val="00AE4FC4"/>
    <w:rsid w:val="00B90E24"/>
    <w:rsid w:val="00CF54FA"/>
    <w:rsid w:val="00DA2E58"/>
    <w:rsid w:val="2DB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825</Characters>
  <Lines>6</Lines>
  <Paragraphs>1</Paragraphs>
  <TotalTime>40</TotalTime>
  <ScaleCrop>false</ScaleCrop>
  <LinksUpToDate>false</LinksUpToDate>
  <CharactersWithSpaces>968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2020-09-10T08:13:00Z</dcterms:created>
  <dc:creator>李华静</dc:creator>
  <cp:lastModifiedBy>zebra</cp:lastModifiedBy>
  <dcterms:modified xsi:type="dcterms:W3CDTF">2020-10-14T08:24:39Z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