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仿宋_GB2312"/>
          <w:b/>
          <w:sz w:val="24"/>
        </w:rPr>
      </w:pPr>
      <w:bookmarkStart w:id="0" w:name="_GoBack"/>
      <w:bookmarkEnd w:id="0"/>
      <w:r>
        <w:rPr>
          <w:rFonts w:hint="eastAsia" w:eastAsia="仿宋_GB2312"/>
          <w:b/>
          <w:sz w:val="24"/>
        </w:rPr>
        <w:t>第二部分  方向科目</w:t>
      </w:r>
    </w:p>
    <w:p>
      <w:pPr>
        <w:spacing w:after="240" w:line="360" w:lineRule="auto"/>
        <w:jc w:val="center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《工程心理学》（仅适用用户体验（UX）方向）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一、</w:t>
      </w:r>
      <w:r>
        <w:rPr>
          <w:rFonts w:ascii="仿宋_GB2312" w:eastAsia="仿宋_GB2312"/>
          <w:kern w:val="2"/>
        </w:rPr>
        <w:t>概论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人机器环境系统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相关学科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研究领域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研究特点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二、</w:t>
      </w:r>
      <w:r>
        <w:rPr>
          <w:rFonts w:ascii="仿宋_GB2312" w:eastAsia="仿宋_GB2312"/>
          <w:kern w:val="2"/>
        </w:rPr>
        <w:t>研究方法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一</w:t>
      </w:r>
      <w:r>
        <w:rPr>
          <w:rFonts w:ascii="仿宋_GB2312" w:eastAsia="仿宋_GB2312"/>
          <w:kern w:val="2"/>
        </w:rPr>
        <w:t>）经典的实验研究方法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问卷法、访谈法和观察法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实验法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现场研究和模拟实验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二</w:t>
      </w:r>
      <w:r>
        <w:rPr>
          <w:rFonts w:ascii="仿宋_GB2312" w:eastAsia="仿宋_GB2312"/>
          <w:kern w:val="2"/>
        </w:rPr>
        <w:t>）神经生理方法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 xml:space="preserve"> </w:t>
      </w:r>
      <w:r>
        <w:rPr>
          <w:rFonts w:ascii="仿宋_GB2312" w:eastAsia="仿宋_GB2312"/>
          <w:kern w:val="2"/>
        </w:rPr>
        <w:t xml:space="preserve">   眼动追踪技术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心理生理测量技术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脑功能检测技术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三、</w:t>
      </w:r>
      <w:r>
        <w:rPr>
          <w:rFonts w:ascii="仿宋_GB2312" w:eastAsia="仿宋_GB2312"/>
          <w:kern w:val="2"/>
        </w:rPr>
        <w:t>视觉显示界面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一</w:t>
      </w:r>
      <w:r>
        <w:rPr>
          <w:rFonts w:ascii="仿宋_GB2312" w:eastAsia="仿宋_GB2312"/>
          <w:kern w:val="2"/>
        </w:rPr>
        <w:t>）视觉显示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1．静态视觉显示界面的研究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2．文字显示设计的研究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3．图表显示设计研究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4．符号标志设计研究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二</w:t>
      </w:r>
      <w:r>
        <w:rPr>
          <w:rFonts w:ascii="仿宋_GB2312" w:eastAsia="仿宋_GB2312"/>
          <w:kern w:val="2"/>
        </w:rPr>
        <w:t>）动态视觉显示界面的研究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1．表盘仪表信息显示的研究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</w:t>
      </w:r>
      <w:r>
        <w:rPr>
          <w:rFonts w:hint="eastAsia" w:ascii="仿宋_GB2312" w:eastAsia="仿宋_GB2312"/>
          <w:kern w:val="2"/>
        </w:rPr>
        <w:t>2</w:t>
      </w:r>
      <w:r>
        <w:rPr>
          <w:rFonts w:ascii="仿宋_GB2312" w:eastAsia="仿宋_GB2312"/>
          <w:kern w:val="2"/>
        </w:rPr>
        <w:t>．灯光信号设计的研究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3．电子显示器信息显示设计的研究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4．手持移动设备显示的研究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三</w:t>
      </w:r>
      <w:r>
        <w:rPr>
          <w:rFonts w:ascii="仿宋_GB2312" w:eastAsia="仿宋_GB2312"/>
          <w:kern w:val="2"/>
        </w:rPr>
        <w:t>）视觉显示编码、突显和兼容性的研究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1．视觉显示界面中的信息编码问题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2．视觉信息显示的突显研究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 xml:space="preserve">    3．视觉显示和控制兼容性研究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四、</w:t>
      </w:r>
      <w:r>
        <w:rPr>
          <w:rFonts w:ascii="仿宋_GB2312" w:eastAsia="仿宋_GB2312"/>
          <w:kern w:val="2"/>
        </w:rPr>
        <w:t>听觉显示界面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一</w:t>
      </w:r>
      <w:r>
        <w:rPr>
          <w:rFonts w:ascii="仿宋_GB2312" w:eastAsia="仿宋_GB2312"/>
          <w:kern w:val="2"/>
        </w:rPr>
        <w:t>）听觉显示</w:t>
      </w:r>
      <w:r>
        <w:rPr>
          <w:rFonts w:hint="eastAsia" w:ascii="仿宋_GB2312" w:eastAsia="仿宋_GB2312"/>
          <w:kern w:val="2"/>
        </w:rPr>
        <w:t>：</w:t>
      </w:r>
      <w:r>
        <w:rPr>
          <w:rFonts w:ascii="仿宋_GB2312" w:eastAsia="仿宋_GB2312"/>
          <w:kern w:val="2"/>
        </w:rPr>
        <w:t>听觉显示特点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听觉显示器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二</w:t>
      </w:r>
      <w:r>
        <w:rPr>
          <w:rFonts w:ascii="仿宋_GB2312" w:eastAsia="仿宋_GB2312"/>
          <w:kern w:val="2"/>
        </w:rPr>
        <w:t>）语音界面</w:t>
      </w:r>
      <w:r>
        <w:rPr>
          <w:rFonts w:hint="eastAsia" w:ascii="仿宋_GB2312" w:eastAsia="仿宋_GB2312"/>
          <w:kern w:val="2"/>
        </w:rPr>
        <w:t>：</w:t>
      </w:r>
      <w:r>
        <w:rPr>
          <w:rFonts w:ascii="仿宋_GB2312" w:eastAsia="仿宋_GB2312"/>
          <w:kern w:val="2"/>
        </w:rPr>
        <w:t>言语可懂度和自然度的研究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语音界面的研究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五、</w:t>
      </w:r>
      <w:r>
        <w:rPr>
          <w:rFonts w:ascii="仿宋_GB2312" w:eastAsia="仿宋_GB2312"/>
          <w:kern w:val="2"/>
        </w:rPr>
        <w:t>控制交互界面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一</w:t>
      </w:r>
      <w:r>
        <w:rPr>
          <w:rFonts w:ascii="仿宋_GB2312" w:eastAsia="仿宋_GB2312"/>
          <w:kern w:val="2"/>
        </w:rPr>
        <w:t>）传统控制器的交互界面</w:t>
      </w:r>
      <w:r>
        <w:rPr>
          <w:rFonts w:hint="eastAsia" w:ascii="仿宋_GB2312" w:eastAsia="仿宋_GB2312"/>
          <w:kern w:val="2"/>
        </w:rPr>
        <w:t>：</w:t>
      </w:r>
      <w:r>
        <w:rPr>
          <w:rFonts w:ascii="仿宋_GB2312" w:eastAsia="仿宋_GB2312"/>
          <w:kern w:val="2"/>
        </w:rPr>
        <w:t>控制器的识别</w:t>
      </w:r>
      <w:r>
        <w:rPr>
          <w:rFonts w:hint="eastAsia" w:ascii="仿宋_GB2312" w:eastAsia="仿宋_GB2312"/>
          <w:kern w:val="2"/>
        </w:rPr>
        <w:t>与</w:t>
      </w:r>
      <w:r>
        <w:rPr>
          <w:rFonts w:ascii="仿宋_GB2312" w:eastAsia="仿宋_GB2312"/>
          <w:kern w:val="2"/>
        </w:rPr>
        <w:t>操作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二</w:t>
      </w:r>
      <w:r>
        <w:rPr>
          <w:rFonts w:ascii="仿宋_GB2312" w:eastAsia="仿宋_GB2312"/>
          <w:kern w:val="2"/>
        </w:rPr>
        <w:t>）新型控制的交互界面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语音控制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眼动控制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脑机接口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可穿戴设备交互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六、</w:t>
      </w:r>
      <w:r>
        <w:rPr>
          <w:rFonts w:ascii="仿宋_GB2312" w:eastAsia="仿宋_GB2312"/>
          <w:kern w:val="2"/>
        </w:rPr>
        <w:t>人计算机交互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一</w:t>
      </w:r>
      <w:r>
        <w:rPr>
          <w:rFonts w:ascii="仿宋_GB2312" w:eastAsia="仿宋_GB2312"/>
          <w:kern w:val="2"/>
        </w:rPr>
        <w:t>）菜单、命令和对话等界面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菜单界面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命令和填空界面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对话和直接操作界面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二</w:t>
      </w:r>
      <w:r>
        <w:rPr>
          <w:rFonts w:ascii="仿宋_GB2312" w:eastAsia="仿宋_GB2312"/>
          <w:kern w:val="2"/>
        </w:rPr>
        <w:t>）协同工作、虚拟和网络等界面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协同工作界面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虚拟界面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网络界面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三</w:t>
      </w:r>
      <w:r>
        <w:rPr>
          <w:rFonts w:ascii="仿宋_GB2312" w:eastAsia="仿宋_GB2312"/>
          <w:kern w:val="2"/>
        </w:rPr>
        <w:t>）键盘等硬件的交互设计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键盘的交互设计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指点设备的交互设计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手机使用行为与心理特征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七、</w:t>
      </w:r>
      <w:r>
        <w:rPr>
          <w:rFonts w:ascii="仿宋_GB2312" w:eastAsia="仿宋_GB2312"/>
          <w:kern w:val="2"/>
        </w:rPr>
        <w:t>产品可用性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一</w:t>
      </w:r>
      <w:r>
        <w:rPr>
          <w:rFonts w:ascii="仿宋_GB2312" w:eastAsia="仿宋_GB2312"/>
          <w:kern w:val="2"/>
        </w:rPr>
        <w:t>）可用性和用户体验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可用性及其研究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用户体验及其相关理论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二</w:t>
      </w:r>
      <w:r>
        <w:rPr>
          <w:rFonts w:ascii="仿宋_GB2312" w:eastAsia="仿宋_GB2312"/>
          <w:kern w:val="2"/>
        </w:rPr>
        <w:t>）可用性和用户体验的度量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度量维度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各种度量的整合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（</w:t>
      </w:r>
      <w:r>
        <w:rPr>
          <w:rFonts w:hint="eastAsia" w:ascii="仿宋_GB2312" w:eastAsia="仿宋_GB2312"/>
          <w:kern w:val="2"/>
        </w:rPr>
        <w:t>三</w:t>
      </w:r>
      <w:r>
        <w:rPr>
          <w:rFonts w:ascii="仿宋_GB2312" w:eastAsia="仿宋_GB2312"/>
          <w:kern w:val="2"/>
        </w:rPr>
        <w:t>）评价度量体系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定性的可用性度量评价体系</w:t>
      </w:r>
      <w:r>
        <w:rPr>
          <w:rFonts w:hint="eastAsia" w:ascii="仿宋_GB2312" w:eastAsia="仿宋_GB2312"/>
          <w:kern w:val="2"/>
        </w:rPr>
        <w:t>；</w:t>
      </w:r>
      <w:r>
        <w:rPr>
          <w:rFonts w:ascii="仿宋_GB2312" w:eastAsia="仿宋_GB2312"/>
          <w:kern w:val="2"/>
        </w:rPr>
        <w:t>定量的可用性度量评价体系</w:t>
      </w:r>
    </w:p>
    <w:p>
      <w:pPr>
        <w:spacing w:line="360" w:lineRule="auto"/>
        <w:rPr>
          <w:rFonts w:ascii="仿宋_GB2312" w:eastAsia="仿宋_GB2312"/>
          <w:b/>
          <w:sz w:val="24"/>
        </w:rPr>
      </w:pPr>
    </w:p>
    <w:p>
      <w:pPr>
        <w:spacing w:after="240" w:line="360" w:lineRule="auto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《人格心理学》</w:t>
      </w:r>
      <w:r>
        <w:rPr>
          <w:rFonts w:hint="eastAsia" w:eastAsia="仿宋_GB2312"/>
          <w:b/>
          <w:sz w:val="24"/>
        </w:rPr>
        <w:t>（仅适用临床与咨询心理方向）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一、什么是人格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二、心理动力取向的人格理论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（一）弗洛伊德与经典精神分析理论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（二）荣格与分析心理学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（三）阿德勒与个体心理学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（四）新精神分析理论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三、存在-人本取向的人格理论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（一）马斯洛与自我实现的人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（二）罗杰斯与来访者中心疗法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（三）存在主义心理学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（四）积极心理学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四、特质取向的人格理论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（一）奥尔波特与特质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（二）卡特尔与1</w:t>
      </w:r>
      <w:r>
        <w:rPr>
          <w:rFonts w:ascii="仿宋_GB2312" w:eastAsia="仿宋_GB2312"/>
          <w:kern w:val="2"/>
        </w:rPr>
        <w:t>6PF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（三）艾克森与大三人格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（四）大五人格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五、认知取向的人格理论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（一）凯利与个人构建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（二）罗特与控制点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（三）班杜拉与社会认知理论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六、生物学取向的人格理论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（一）人格的遗传与生物基础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（二）疾病倾向人格</w:t>
      </w:r>
    </w:p>
    <w:p>
      <w:pPr>
        <w:pStyle w:val="7"/>
        <w:spacing w:before="0" w:beforeAutospacing="0" w:after="0" w:afterAutospacing="0" w:line="360" w:lineRule="auto"/>
        <w:jc w:val="both"/>
        <w:rPr>
          <w:rFonts w:ascii="仿宋" w:hAnsi="仿宋" w:eastAsia="仿宋"/>
        </w:rPr>
      </w:pPr>
    </w:p>
    <w:p>
      <w:pPr>
        <w:spacing w:after="240" w:line="360" w:lineRule="auto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《社会心理学》（仅适用于品牌、广告与消费心理和心理与行为大数据方向）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一、社会心理学导论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（一）社会心理学的研究对象与研究内容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（二）社会心理学的研究方法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二、自我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（一）自我即中心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（二）自我概念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（三）自尊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（四）文化与自我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（五）自我服务偏差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三、社会知觉与判断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（一）社会认知的定义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（二）印象与印象形成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（三）归因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（四）社会判断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四、态度及其改变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（一）态度的概念及成分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（二）态度与行为的关系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（三）态度的改变及理论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五、从众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（一）从众的定义及经典研究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（二）从众的影响因素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六、说服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（一）说服的途径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（二）说服的要素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七、群体影响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（一）什么是群体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（二）群体极化和群体思维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（三）社会助长和社会惰化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（四）去个体化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八、偏见与歧视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（一）什么是偏见与歧视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（二）偏见的根源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（三）刻板印象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九、攻击行为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（一）攻击行为的理论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（二）攻击行为的影响因素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（三）如何减少攻击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十、人际吸引与亲密关系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（一）人际吸引的规则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（二）爱情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十一、助人行为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（一）助人行为的理论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（二）助人行为的影响因素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spacing w:after="240" w:line="360" w:lineRule="auto"/>
        <w:jc w:val="center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《管理心理学》（仅适用心理测量与人力资源管理方向）</w:t>
      </w:r>
    </w:p>
    <w:p>
      <w:pPr>
        <w:pStyle w:val="7"/>
        <w:spacing w:before="10" w:beforeAutospacing="0" w:after="10" w:afterAutospacing="0" w:line="360" w:lineRule="auto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一、管理心理学发展历史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（一）理论背景</w:t>
      </w:r>
    </w:p>
    <w:p>
      <w:pPr>
        <w:pStyle w:val="7"/>
        <w:spacing w:before="10" w:beforeAutospacing="0" w:after="10" w:afterAutospacing="0" w:line="360" w:lineRule="auto"/>
        <w:ind w:left="420" w:leftChars="200"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心理技术学；人际关系理论；群体动力理论；需要层次理论；社会测量学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（二）标志性事件</w:t>
      </w:r>
    </w:p>
    <w:p>
      <w:pPr>
        <w:pStyle w:val="7"/>
        <w:spacing w:before="10" w:beforeAutospacing="0" w:after="10" w:afterAutospacing="0" w:line="360" w:lineRule="auto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二、管理中的人性假设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（一）人性观及演进</w:t>
      </w:r>
    </w:p>
    <w:p>
      <w:pPr>
        <w:pStyle w:val="7"/>
        <w:spacing w:before="10" w:beforeAutospacing="0" w:after="10" w:afterAutospacing="0" w:line="360" w:lineRule="auto"/>
        <w:ind w:firstLine="480" w:firstLineChars="20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“工具人”假设；“经济人”假设；“社会人”假设；“自我实现人”假设；“复杂人”假设；“理性人”假设；“文化人”假设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（二）人性观在管理中的运用</w:t>
      </w:r>
    </w:p>
    <w:p>
      <w:pPr>
        <w:pStyle w:val="7"/>
        <w:spacing w:before="10" w:beforeAutospacing="0" w:after="10" w:afterAutospacing="0" w:line="360" w:lineRule="auto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三、个体行为心理基础</w:t>
      </w:r>
    </w:p>
    <w:p>
      <w:pPr>
        <w:pStyle w:val="7"/>
        <w:spacing w:before="10" w:beforeAutospacing="0" w:after="10" w:afterAutospacing="0" w:line="360" w:lineRule="auto"/>
        <w:ind w:left="371" w:leftChars="68" w:hanging="228" w:hangingChars="95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（一）社会知觉：选择性知觉；刻板印象；第一印象；近因效应；晕轮效应</w:t>
      </w:r>
    </w:p>
    <w:p>
      <w:pPr>
        <w:pStyle w:val="7"/>
        <w:spacing w:before="10" w:beforeAutospacing="0" w:after="10" w:afterAutospacing="0" w:line="360" w:lineRule="auto"/>
        <w:ind w:left="371" w:leftChars="68" w:hanging="228" w:hangingChars="95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（二）归因理论</w:t>
      </w:r>
    </w:p>
    <w:p>
      <w:pPr>
        <w:pStyle w:val="7"/>
        <w:spacing w:before="10" w:beforeAutospacing="0" w:after="10" w:afterAutospacing="0" w:line="360" w:lineRule="auto"/>
        <w:ind w:left="371" w:leftChars="68" w:hanging="228" w:hangingChars="95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（三）个性心理差异与管理</w:t>
      </w:r>
    </w:p>
    <w:p>
      <w:pPr>
        <w:pStyle w:val="7"/>
        <w:spacing w:before="10" w:beforeAutospacing="0" w:after="10" w:afterAutospacing="0" w:line="360" w:lineRule="auto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四、工作动机与激励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（一）工作动机的定义、成分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（二）激励的定义与原理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（三）激励理论</w:t>
      </w:r>
    </w:p>
    <w:p>
      <w:pPr>
        <w:pStyle w:val="7"/>
        <w:spacing w:before="10" w:beforeAutospacing="0" w:after="10" w:afterAutospacing="0" w:line="360" w:lineRule="auto"/>
        <w:ind w:left="141" w:leftChars="67" w:firstLine="381" w:firstLineChars="1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内容型激励理论（马斯洛需要层次理论；ERG理论；双因素理论；麦克利兰“三种需要理论”）；过程型激励理论（期望理论；公平理论；目标设定理论）；</w:t>
      </w:r>
      <w:r>
        <w:rPr>
          <w:rFonts w:ascii="仿宋_GB2312" w:eastAsia="仿宋_GB2312"/>
          <w:kern w:val="2"/>
        </w:rPr>
        <w:t xml:space="preserve"> </w:t>
      </w:r>
    </w:p>
    <w:p>
      <w:pPr>
        <w:pStyle w:val="7"/>
        <w:spacing w:before="10" w:beforeAutospacing="0" w:after="10" w:afterAutospacing="0" w:line="360" w:lineRule="auto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五、群体心理与管理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（一）群体动力</w:t>
      </w:r>
    </w:p>
    <w:p>
      <w:pPr>
        <w:pStyle w:val="7"/>
        <w:spacing w:before="10" w:beforeAutospacing="0" w:after="10" w:afterAutospacing="0" w:line="360" w:lineRule="auto"/>
        <w:ind w:firstLine="566" w:firstLineChars="23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群体规范；群体压力与从众；群体凝聚力；群体士气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（二）群体决策</w:t>
      </w:r>
    </w:p>
    <w:p>
      <w:pPr>
        <w:pStyle w:val="7"/>
        <w:spacing w:before="10" w:beforeAutospacing="0" w:after="10" w:afterAutospacing="0" w:line="360" w:lineRule="auto"/>
        <w:ind w:left="141" w:leftChars="67" w:firstLine="424" w:firstLineChars="177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  <w:kern w:val="2"/>
        </w:rPr>
        <w:t>群体决策方法（</w:t>
      </w:r>
      <w:r>
        <w:rPr>
          <w:rFonts w:hint="eastAsia" w:ascii="仿宋_GB2312" w:eastAsia="仿宋_GB2312"/>
        </w:rPr>
        <w:t>头脑风暴法；名义小组技术；德尔菲法；电子会议法）；</w:t>
      </w:r>
      <w:r>
        <w:rPr>
          <w:rFonts w:hint="eastAsia" w:ascii="仿宋_GB2312" w:eastAsia="仿宋_GB2312"/>
          <w:kern w:val="2"/>
        </w:rPr>
        <w:t>群体决策中的问题（</w:t>
      </w:r>
      <w:r>
        <w:rPr>
          <w:rFonts w:hint="eastAsia" w:ascii="仿宋_GB2312" w:eastAsia="仿宋_GB2312"/>
        </w:rPr>
        <w:t>小群体意识；极端性偏移）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（三）群体冲突</w:t>
      </w:r>
    </w:p>
    <w:p>
      <w:pPr>
        <w:pStyle w:val="7"/>
        <w:spacing w:before="10" w:beforeAutospacing="0" w:after="10" w:afterAutospacing="0" w:line="360" w:lineRule="auto"/>
        <w:ind w:left="141" w:leftChars="67" w:firstLine="424" w:firstLineChars="17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冲突的定义与分类</w:t>
      </w:r>
      <w:r>
        <w:rPr>
          <w:rFonts w:ascii="仿宋_GB2312" w:eastAsia="仿宋_GB2312"/>
          <w:kern w:val="2"/>
        </w:rPr>
        <w:t xml:space="preserve"> </w:t>
      </w:r>
      <w:r>
        <w:rPr>
          <w:rFonts w:hint="eastAsia" w:ascii="仿宋_GB2312" w:eastAsia="仿宋_GB2312"/>
          <w:kern w:val="2"/>
        </w:rPr>
        <w:t>；群体冲突的来源（</w:t>
      </w:r>
      <w:r>
        <w:rPr>
          <w:rFonts w:hint="eastAsia" w:ascii="仿宋_GB2312" w:eastAsia="仿宋_GB2312"/>
        </w:rPr>
        <w:t>“寻衅——认可学说；“公平分配”学说；“利益最大化”学说；“资源说”）</w:t>
      </w:r>
    </w:p>
    <w:p>
      <w:pPr>
        <w:pStyle w:val="7"/>
        <w:spacing w:before="10" w:beforeAutospacing="0" w:after="10" w:afterAutospacing="0" w:line="360" w:lineRule="auto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六、团队建设与管理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（一）团队的定义、特点、类型、作用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（二）团队发展阶段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（三）团队成员的角色</w:t>
      </w:r>
    </w:p>
    <w:p>
      <w:pPr>
        <w:pStyle w:val="7"/>
        <w:spacing w:before="10" w:beforeAutospacing="0" w:after="10" w:afterAutospacing="0" w:line="360" w:lineRule="auto"/>
        <w:ind w:left="287" w:leftChars="68" w:hanging="144" w:hangingChars="6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（四）团队建设的途径：人际关系途径；角色界定途径；价值观途径；任务导向途径</w:t>
      </w:r>
    </w:p>
    <w:p>
      <w:pPr>
        <w:pStyle w:val="7"/>
        <w:spacing w:before="10" w:beforeAutospacing="0" w:after="10" w:afterAutospacing="0" w:line="360" w:lineRule="auto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七、领导心理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（一）领导效能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（二）领导理论</w:t>
      </w:r>
    </w:p>
    <w:p>
      <w:pPr>
        <w:pStyle w:val="7"/>
        <w:spacing w:before="10" w:beforeAutospacing="0" w:after="10" w:afterAutospacing="0" w:line="360" w:lineRule="auto"/>
        <w:ind w:left="283" w:leftChars="135" w:firstLine="381" w:firstLineChars="159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  <w:kern w:val="2"/>
        </w:rPr>
        <w:t>特质理论；行为理论 （</w:t>
      </w:r>
      <w:r>
        <w:rPr>
          <w:rFonts w:hint="eastAsia" w:ascii="仿宋_GB2312" w:eastAsia="仿宋_GB2312"/>
        </w:rPr>
        <w:t>勒温的领导类型；</w:t>
      </w:r>
      <w:r>
        <w:rPr>
          <w:rFonts w:hint="eastAsia" w:ascii="仿宋_GB2312" w:eastAsia="仿宋_GB2312"/>
          <w:kern w:val="2"/>
        </w:rPr>
        <w:t>俄亥俄大学研究；四分图模型；管理方格</w:t>
      </w:r>
      <w:r>
        <w:rPr>
          <w:rFonts w:hint="eastAsia" w:ascii="仿宋_GB2312" w:eastAsia="仿宋_GB2312"/>
        </w:rPr>
        <w:t>理论</w:t>
      </w:r>
      <w:r>
        <w:rPr>
          <w:rFonts w:hint="eastAsia" w:ascii="仿宋_GB2312" w:eastAsia="仿宋_GB2312"/>
          <w:kern w:val="2"/>
        </w:rPr>
        <w:t>）；权变理论（</w:t>
      </w:r>
      <w:r>
        <w:rPr>
          <w:rFonts w:hint="eastAsia" w:ascii="仿宋_GB2312" w:eastAsia="仿宋_GB2312"/>
        </w:rPr>
        <w:t>LPC测量理论；路径—目标理论；领导生命周期理论）</w:t>
      </w:r>
      <w:r>
        <w:rPr>
          <w:rFonts w:ascii="仿宋_GB2312" w:eastAsia="仿宋_GB2312"/>
        </w:rPr>
        <w:t xml:space="preserve"> </w:t>
      </w:r>
    </w:p>
    <w:p>
      <w:pPr>
        <w:pStyle w:val="7"/>
        <w:spacing w:before="10" w:beforeAutospacing="0" w:after="10" w:afterAutospacing="0" w:line="360" w:lineRule="auto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八、组织文化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（一）组织文化的概念、特征与功能</w:t>
      </w:r>
    </w:p>
    <w:p>
      <w:pPr>
        <w:pStyle w:val="7"/>
        <w:spacing w:before="10" w:beforeAutospacing="0" w:after="10" w:afterAutospacing="0" w:line="360" w:lineRule="auto"/>
        <w:ind w:firstLine="141" w:firstLineChars="59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（二）组织文化的结构</w:t>
      </w:r>
    </w:p>
    <w:p>
      <w:pPr>
        <w:pStyle w:val="7"/>
        <w:spacing w:before="10" w:beforeAutospacing="0" w:after="10" w:afterAutospacing="0" w:line="360" w:lineRule="auto"/>
        <w:ind w:left="287" w:leftChars="68" w:hanging="144" w:hangingChars="60"/>
        <w:jc w:val="both"/>
        <w:rPr>
          <w:rFonts w:eastAsia="仿宋_GB2312"/>
          <w:b/>
          <w:color w:val="FF0000"/>
        </w:rPr>
      </w:pPr>
      <w:r>
        <w:rPr>
          <w:rFonts w:hint="eastAsia" w:ascii="仿宋_GB2312" w:eastAsia="仿宋_GB2312"/>
          <w:kern w:val="2"/>
        </w:rPr>
        <w:t>（三）组织文化相关</w:t>
      </w:r>
      <w:r>
        <w:rPr>
          <w:rFonts w:ascii="仿宋_GB2312" w:eastAsia="仿宋_GB2312"/>
          <w:kern w:val="2"/>
        </w:rPr>
        <w:t>研究</w:t>
      </w:r>
      <w:r>
        <w:rPr>
          <w:rFonts w:hint="eastAsia" w:ascii="仿宋_GB2312" w:eastAsia="仿宋_GB2312"/>
          <w:kern w:val="2"/>
        </w:rPr>
        <w:t>：霍夫斯塔德的跨文化研究；克拉克宏的文化架构；Z理论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1F"/>
    <w:rsid w:val="000243E7"/>
    <w:rsid w:val="00025F90"/>
    <w:rsid w:val="00062D53"/>
    <w:rsid w:val="00076F5B"/>
    <w:rsid w:val="00082290"/>
    <w:rsid w:val="00090339"/>
    <w:rsid w:val="0009491E"/>
    <w:rsid w:val="000A6CA5"/>
    <w:rsid w:val="000B511D"/>
    <w:rsid w:val="000D136F"/>
    <w:rsid w:val="000D2312"/>
    <w:rsid w:val="00103680"/>
    <w:rsid w:val="00127C54"/>
    <w:rsid w:val="001326D6"/>
    <w:rsid w:val="0015680A"/>
    <w:rsid w:val="00163519"/>
    <w:rsid w:val="00173CB2"/>
    <w:rsid w:val="001741F8"/>
    <w:rsid w:val="00175178"/>
    <w:rsid w:val="00185B1D"/>
    <w:rsid w:val="001865F3"/>
    <w:rsid w:val="001A1A5F"/>
    <w:rsid w:val="001A5688"/>
    <w:rsid w:val="001C2D7F"/>
    <w:rsid w:val="001D1764"/>
    <w:rsid w:val="001E2A3E"/>
    <w:rsid w:val="001E41FA"/>
    <w:rsid w:val="001F2C9E"/>
    <w:rsid w:val="0023766A"/>
    <w:rsid w:val="002559B0"/>
    <w:rsid w:val="00260B93"/>
    <w:rsid w:val="002727A1"/>
    <w:rsid w:val="00280911"/>
    <w:rsid w:val="002A3D32"/>
    <w:rsid w:val="002A5F46"/>
    <w:rsid w:val="002B096E"/>
    <w:rsid w:val="002B7719"/>
    <w:rsid w:val="002C5835"/>
    <w:rsid w:val="002D3D9D"/>
    <w:rsid w:val="002D7A55"/>
    <w:rsid w:val="0030074F"/>
    <w:rsid w:val="00311A78"/>
    <w:rsid w:val="003207CE"/>
    <w:rsid w:val="00324296"/>
    <w:rsid w:val="003253F9"/>
    <w:rsid w:val="003338E4"/>
    <w:rsid w:val="00336126"/>
    <w:rsid w:val="003431FE"/>
    <w:rsid w:val="00344E28"/>
    <w:rsid w:val="00351D1F"/>
    <w:rsid w:val="003729C4"/>
    <w:rsid w:val="0038201D"/>
    <w:rsid w:val="003945F8"/>
    <w:rsid w:val="003A5829"/>
    <w:rsid w:val="003F7EB0"/>
    <w:rsid w:val="00422541"/>
    <w:rsid w:val="004237C8"/>
    <w:rsid w:val="00427E8F"/>
    <w:rsid w:val="00444539"/>
    <w:rsid w:val="00445483"/>
    <w:rsid w:val="0047762D"/>
    <w:rsid w:val="004905DD"/>
    <w:rsid w:val="004940B0"/>
    <w:rsid w:val="0049457A"/>
    <w:rsid w:val="00495C0B"/>
    <w:rsid w:val="004C59B0"/>
    <w:rsid w:val="004C64F8"/>
    <w:rsid w:val="004D572B"/>
    <w:rsid w:val="004E13CE"/>
    <w:rsid w:val="004F1962"/>
    <w:rsid w:val="00505DF3"/>
    <w:rsid w:val="00514730"/>
    <w:rsid w:val="00521A22"/>
    <w:rsid w:val="0053341C"/>
    <w:rsid w:val="00535846"/>
    <w:rsid w:val="00537010"/>
    <w:rsid w:val="0054198A"/>
    <w:rsid w:val="00542B48"/>
    <w:rsid w:val="005432BA"/>
    <w:rsid w:val="00544D0E"/>
    <w:rsid w:val="00574646"/>
    <w:rsid w:val="00581886"/>
    <w:rsid w:val="00586B69"/>
    <w:rsid w:val="00590D96"/>
    <w:rsid w:val="00594D83"/>
    <w:rsid w:val="005A6C63"/>
    <w:rsid w:val="005B1A71"/>
    <w:rsid w:val="005B6AF0"/>
    <w:rsid w:val="005C10A9"/>
    <w:rsid w:val="005C2898"/>
    <w:rsid w:val="005C6F4A"/>
    <w:rsid w:val="005D0B2E"/>
    <w:rsid w:val="005D5420"/>
    <w:rsid w:val="005E3186"/>
    <w:rsid w:val="005F149D"/>
    <w:rsid w:val="00616B91"/>
    <w:rsid w:val="00617E1C"/>
    <w:rsid w:val="0063216C"/>
    <w:rsid w:val="00642EF6"/>
    <w:rsid w:val="00647F94"/>
    <w:rsid w:val="00696881"/>
    <w:rsid w:val="006B75F6"/>
    <w:rsid w:val="006F05FC"/>
    <w:rsid w:val="0070270B"/>
    <w:rsid w:val="00711A8B"/>
    <w:rsid w:val="0071272B"/>
    <w:rsid w:val="00714A30"/>
    <w:rsid w:val="0072717B"/>
    <w:rsid w:val="00734CF8"/>
    <w:rsid w:val="0073629C"/>
    <w:rsid w:val="00740C94"/>
    <w:rsid w:val="007424D7"/>
    <w:rsid w:val="0074430A"/>
    <w:rsid w:val="0074536B"/>
    <w:rsid w:val="00757763"/>
    <w:rsid w:val="00776857"/>
    <w:rsid w:val="00785EF1"/>
    <w:rsid w:val="00786C8E"/>
    <w:rsid w:val="00797FAA"/>
    <w:rsid w:val="008105B1"/>
    <w:rsid w:val="00817999"/>
    <w:rsid w:val="008310DE"/>
    <w:rsid w:val="00875B5D"/>
    <w:rsid w:val="0088120D"/>
    <w:rsid w:val="008819C4"/>
    <w:rsid w:val="00886308"/>
    <w:rsid w:val="00894E64"/>
    <w:rsid w:val="00894FEB"/>
    <w:rsid w:val="0089633B"/>
    <w:rsid w:val="008A6EF1"/>
    <w:rsid w:val="008B198E"/>
    <w:rsid w:val="008B3007"/>
    <w:rsid w:val="008C7108"/>
    <w:rsid w:val="008C75F5"/>
    <w:rsid w:val="008D2982"/>
    <w:rsid w:val="008D4761"/>
    <w:rsid w:val="008F1D49"/>
    <w:rsid w:val="008F697A"/>
    <w:rsid w:val="008F76A8"/>
    <w:rsid w:val="009024E7"/>
    <w:rsid w:val="009062DD"/>
    <w:rsid w:val="00907BA7"/>
    <w:rsid w:val="00907F50"/>
    <w:rsid w:val="00911A36"/>
    <w:rsid w:val="00911AC1"/>
    <w:rsid w:val="009143A8"/>
    <w:rsid w:val="00914B41"/>
    <w:rsid w:val="00915270"/>
    <w:rsid w:val="009248DE"/>
    <w:rsid w:val="009456A6"/>
    <w:rsid w:val="009469F1"/>
    <w:rsid w:val="009507FB"/>
    <w:rsid w:val="00951A1F"/>
    <w:rsid w:val="00953C8D"/>
    <w:rsid w:val="00972470"/>
    <w:rsid w:val="009737DF"/>
    <w:rsid w:val="009804B7"/>
    <w:rsid w:val="00993299"/>
    <w:rsid w:val="009A3047"/>
    <w:rsid w:val="009A663F"/>
    <w:rsid w:val="009B3046"/>
    <w:rsid w:val="009B5829"/>
    <w:rsid w:val="009C6055"/>
    <w:rsid w:val="009D0315"/>
    <w:rsid w:val="009D0AA5"/>
    <w:rsid w:val="009E173F"/>
    <w:rsid w:val="009E45AD"/>
    <w:rsid w:val="009E7C15"/>
    <w:rsid w:val="009F0944"/>
    <w:rsid w:val="009F4DBC"/>
    <w:rsid w:val="00A07724"/>
    <w:rsid w:val="00A2146D"/>
    <w:rsid w:val="00A218C7"/>
    <w:rsid w:val="00A247F3"/>
    <w:rsid w:val="00A374EE"/>
    <w:rsid w:val="00A37546"/>
    <w:rsid w:val="00A45150"/>
    <w:rsid w:val="00A6103E"/>
    <w:rsid w:val="00A81289"/>
    <w:rsid w:val="00A91362"/>
    <w:rsid w:val="00A95830"/>
    <w:rsid w:val="00AA5083"/>
    <w:rsid w:val="00AC251F"/>
    <w:rsid w:val="00AD17AE"/>
    <w:rsid w:val="00AD63BD"/>
    <w:rsid w:val="00AD72A2"/>
    <w:rsid w:val="00AE2123"/>
    <w:rsid w:val="00AE276D"/>
    <w:rsid w:val="00AE2C65"/>
    <w:rsid w:val="00AF2BC9"/>
    <w:rsid w:val="00B00750"/>
    <w:rsid w:val="00B269D9"/>
    <w:rsid w:val="00B2797A"/>
    <w:rsid w:val="00B57507"/>
    <w:rsid w:val="00B770A2"/>
    <w:rsid w:val="00B83FF0"/>
    <w:rsid w:val="00B87360"/>
    <w:rsid w:val="00B9043E"/>
    <w:rsid w:val="00B916AF"/>
    <w:rsid w:val="00B9493A"/>
    <w:rsid w:val="00BB269F"/>
    <w:rsid w:val="00BB6561"/>
    <w:rsid w:val="00BC476C"/>
    <w:rsid w:val="00BD66E5"/>
    <w:rsid w:val="00BE0826"/>
    <w:rsid w:val="00BE260E"/>
    <w:rsid w:val="00BE4AB9"/>
    <w:rsid w:val="00C35391"/>
    <w:rsid w:val="00C426F2"/>
    <w:rsid w:val="00C42F2D"/>
    <w:rsid w:val="00C523FD"/>
    <w:rsid w:val="00C52C87"/>
    <w:rsid w:val="00C62580"/>
    <w:rsid w:val="00C65810"/>
    <w:rsid w:val="00C65F04"/>
    <w:rsid w:val="00C66F94"/>
    <w:rsid w:val="00C76D1E"/>
    <w:rsid w:val="00C845AB"/>
    <w:rsid w:val="00C84A39"/>
    <w:rsid w:val="00C90B13"/>
    <w:rsid w:val="00C94797"/>
    <w:rsid w:val="00C96DB0"/>
    <w:rsid w:val="00CA005F"/>
    <w:rsid w:val="00CA10F8"/>
    <w:rsid w:val="00CA372D"/>
    <w:rsid w:val="00CA7350"/>
    <w:rsid w:val="00CB150B"/>
    <w:rsid w:val="00CC10F0"/>
    <w:rsid w:val="00CC2662"/>
    <w:rsid w:val="00CF4FDD"/>
    <w:rsid w:val="00D03214"/>
    <w:rsid w:val="00D12C78"/>
    <w:rsid w:val="00D31CF8"/>
    <w:rsid w:val="00D35EAC"/>
    <w:rsid w:val="00D43794"/>
    <w:rsid w:val="00D46C17"/>
    <w:rsid w:val="00D53E73"/>
    <w:rsid w:val="00D56659"/>
    <w:rsid w:val="00D62F74"/>
    <w:rsid w:val="00D85512"/>
    <w:rsid w:val="00D86A4F"/>
    <w:rsid w:val="00D94209"/>
    <w:rsid w:val="00DA49DA"/>
    <w:rsid w:val="00DA5F32"/>
    <w:rsid w:val="00DB3964"/>
    <w:rsid w:val="00DB6D06"/>
    <w:rsid w:val="00DE6382"/>
    <w:rsid w:val="00DF0501"/>
    <w:rsid w:val="00E07C07"/>
    <w:rsid w:val="00E12201"/>
    <w:rsid w:val="00E15D3E"/>
    <w:rsid w:val="00E16966"/>
    <w:rsid w:val="00E34A53"/>
    <w:rsid w:val="00E46E39"/>
    <w:rsid w:val="00E47813"/>
    <w:rsid w:val="00E5056D"/>
    <w:rsid w:val="00E53D52"/>
    <w:rsid w:val="00EA3647"/>
    <w:rsid w:val="00EA4AFF"/>
    <w:rsid w:val="00EB5E5D"/>
    <w:rsid w:val="00ED2375"/>
    <w:rsid w:val="00ED270E"/>
    <w:rsid w:val="00ED3162"/>
    <w:rsid w:val="00ED652F"/>
    <w:rsid w:val="00ED6899"/>
    <w:rsid w:val="00F1086B"/>
    <w:rsid w:val="00F31FA9"/>
    <w:rsid w:val="00F405B1"/>
    <w:rsid w:val="00F41327"/>
    <w:rsid w:val="00F463E4"/>
    <w:rsid w:val="00F53092"/>
    <w:rsid w:val="00F534A9"/>
    <w:rsid w:val="00F615D2"/>
    <w:rsid w:val="00F76A18"/>
    <w:rsid w:val="00F80AD2"/>
    <w:rsid w:val="00F85491"/>
    <w:rsid w:val="00FA3136"/>
    <w:rsid w:val="00FA3A4B"/>
    <w:rsid w:val="00FA4376"/>
    <w:rsid w:val="00FB26FE"/>
    <w:rsid w:val="00FB2F15"/>
    <w:rsid w:val="00FB4571"/>
    <w:rsid w:val="00FC0B93"/>
    <w:rsid w:val="00FD2EB9"/>
    <w:rsid w:val="00FD761E"/>
    <w:rsid w:val="00FE05BD"/>
    <w:rsid w:val="00FF5319"/>
    <w:rsid w:val="00FF737A"/>
    <w:rsid w:val="3C7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6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uiPriority w:val="99"/>
    <w:rPr>
      <w:sz w:val="18"/>
      <w:szCs w:val="18"/>
    </w:rPr>
  </w:style>
  <w:style w:type="character" w:customStyle="1" w:styleId="16">
    <w:name w:val="正文文本缩进 2 字符"/>
    <w:basedOn w:val="11"/>
    <w:link w:val="3"/>
    <w:uiPriority w:val="0"/>
    <w:rPr>
      <w:rFonts w:ascii="宋体" w:hAnsi="Times New Roman" w:eastAsia="宋体" w:cs="Times New Roman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</Words>
  <Characters>1959</Characters>
  <Lines>16</Lines>
  <Paragraphs>4</Paragraphs>
  <TotalTime>1</TotalTime>
  <ScaleCrop>false</ScaleCrop>
  <LinksUpToDate>false</LinksUpToDate>
  <CharactersWithSpaces>2298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2020-09-22T03:11:00Z</dcterms:created>
  <dc:creator>hp</dc:creator>
  <cp:lastModifiedBy>早啊</cp:lastModifiedBy>
  <dcterms:modified xsi:type="dcterms:W3CDTF">2020-09-23T05:56:33Z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